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C44AA5" w:rsidRDefault="00C44AA5" w:rsidP="00C97E4B">
      <w:pPr>
        <w:pStyle w:val="NoSpacing"/>
        <w:jc w:val="both"/>
        <w:rPr>
          <w:rFonts w:ascii="Trebuchet MS" w:eastAsia="Times New Roman" w:hAnsi="Trebuchet MS"/>
          <w:sz w:val="22"/>
          <w:szCs w:val="22"/>
        </w:rPr>
      </w:pPr>
    </w:p>
    <w:p w:rsidR="00123933" w:rsidRPr="00123933" w:rsidRDefault="00123933" w:rsidP="00123933">
      <w:pPr>
        <w:pStyle w:val="NoSpacing"/>
        <w:jc w:val="center"/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  <w:t>SUBMĂSURA 6.1</w:t>
      </w:r>
    </w:p>
    <w:p w:rsidR="00123933" w:rsidRDefault="00123933" w:rsidP="00123933">
      <w:pPr>
        <w:pStyle w:val="NoSpacing"/>
        <w:jc w:val="center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Sprijin</w:t>
      </w:r>
      <w:proofErr w:type="spellEnd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instalarea</w:t>
      </w:r>
      <w:proofErr w:type="spellEnd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tinerilor</w:t>
      </w:r>
      <w:proofErr w:type="spellEnd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fermieri</w:t>
      </w:r>
      <w:proofErr w:type="spellEnd"/>
    </w:p>
    <w:p w:rsidR="00337EB3" w:rsidRPr="00123933" w:rsidRDefault="00337EB3" w:rsidP="00123933">
      <w:pPr>
        <w:pStyle w:val="NoSpacing"/>
        <w:jc w:val="center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  <w:proofErr w:type="spellStart"/>
      <w:r>
        <w:rPr>
          <w:rFonts w:eastAsia="Times New Roman"/>
          <w:b/>
          <w:bCs/>
          <w:color w:val="000000"/>
          <w:bdr w:val="none" w:sz="0" w:space="0" w:color="auto"/>
          <w:lang w:eastAsia="ro-RO"/>
        </w:rPr>
        <w:t>Varianta</w:t>
      </w:r>
      <w:proofErr w:type="spellEnd"/>
      <w:r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6357B0">
        <w:rPr>
          <w:rFonts w:eastAsia="Times New Roman"/>
          <w:b/>
          <w:bCs/>
          <w:color w:val="000000"/>
          <w:bdr w:val="none" w:sz="0" w:space="0" w:color="auto"/>
          <w:lang w:eastAsia="ro-RO"/>
        </w:rPr>
        <w:t>finală</w:t>
      </w:r>
      <w:proofErr w:type="spellEnd"/>
      <w:r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2020</w:t>
      </w:r>
    </w:p>
    <w:p w:rsidR="00123933" w:rsidRPr="00123933" w:rsidRDefault="00123933" w:rsidP="00123933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BF19B8" w:rsidRPr="00BF19B8" w:rsidRDefault="008C5194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r>
        <w:rPr>
          <w:rFonts w:eastAsia="Times New Roman"/>
          <w:bCs/>
          <w:color w:val="000000"/>
          <w:bdr w:val="none" w:sz="0" w:space="0" w:color="auto"/>
          <w:lang w:eastAsia="ro-RO"/>
        </w:rPr>
        <w:t>P</w:t>
      </w:r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rima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sesiune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din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anul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2020 de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depunere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Cererilor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finanţare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submăsura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6.1 „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Sprijin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instalarea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tinerilor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fermieri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” din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Programul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Național</w:t>
      </w:r>
      <w:proofErr w:type="spellEnd"/>
      <w:r w:rsidR="002B6300"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</w:t>
      </w:r>
      <w:r w:rsidR="00BF19B8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e </w:t>
      </w:r>
      <w:proofErr w:type="spellStart"/>
      <w:r w:rsidR="00BF19B8">
        <w:rPr>
          <w:rFonts w:eastAsia="Times New Roman"/>
          <w:bCs/>
          <w:color w:val="000000"/>
          <w:bdr w:val="none" w:sz="0" w:space="0" w:color="auto"/>
          <w:lang w:eastAsia="ro-RO"/>
        </w:rPr>
        <w:t>Dezvoltare</w:t>
      </w:r>
      <w:proofErr w:type="spellEnd"/>
      <w:r w:rsidR="00BF19B8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="00BF19B8">
        <w:rPr>
          <w:rFonts w:eastAsia="Times New Roman"/>
          <w:bCs/>
          <w:color w:val="000000"/>
          <w:bdr w:val="none" w:sz="0" w:space="0" w:color="auto"/>
          <w:lang w:eastAsia="ro-RO"/>
        </w:rPr>
        <w:t>Rurală</w:t>
      </w:r>
      <w:proofErr w:type="spellEnd"/>
      <w:r w:rsidR="00BF19B8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(PNDR 2020)</w:t>
      </w:r>
      <w:r w:rsidRPr="008C5194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 se desfășoară</w:t>
      </w:r>
      <w:r w:rsidR="00BF19B8" w:rsidRPr="00BF19B8">
        <w:rPr>
          <w:rFonts w:ascii="Calibri" w:eastAsia="Calibri" w:hAnsi="Calibri" w:cs="Calibri"/>
          <w:bdr w:val="none" w:sz="0" w:space="0" w:color="auto"/>
          <w:lang w:val="ro-RO"/>
        </w:rPr>
        <w:t xml:space="preserve"> </w:t>
      </w:r>
      <w:r>
        <w:rPr>
          <w:rFonts w:eastAsia="Calibri"/>
          <w:bCs/>
          <w:bdr w:val="none" w:sz="0" w:space="0" w:color="auto"/>
        </w:rPr>
        <w:t>î</w:t>
      </w:r>
      <w:bookmarkStart w:id="0" w:name="_GoBack"/>
      <w:bookmarkEnd w:id="0"/>
      <w:r w:rsidRPr="008C5194">
        <w:rPr>
          <w:rFonts w:eastAsia="Calibri"/>
          <w:bCs/>
          <w:bdr w:val="none" w:sz="0" w:space="0" w:color="auto"/>
        </w:rPr>
        <w:t xml:space="preserve">n </w:t>
      </w:r>
      <w:proofErr w:type="spellStart"/>
      <w:r w:rsidRPr="008C5194">
        <w:rPr>
          <w:rFonts w:eastAsia="Calibri"/>
          <w:bCs/>
          <w:bdr w:val="none" w:sz="0" w:space="0" w:color="auto"/>
        </w:rPr>
        <w:t>perioada</w:t>
      </w:r>
      <w:proofErr w:type="spellEnd"/>
      <w:r w:rsidRPr="008C5194">
        <w:rPr>
          <w:rFonts w:eastAsia="Calibri"/>
          <w:bCs/>
          <w:bdr w:val="none" w:sz="0" w:space="0" w:color="auto"/>
        </w:rPr>
        <w:t xml:space="preserve"> </w:t>
      </w:r>
      <w:r w:rsidRPr="008C5194">
        <w:rPr>
          <w:rFonts w:eastAsia="Calibri"/>
          <w:b/>
          <w:bCs/>
          <w:bdr w:val="none" w:sz="0" w:space="0" w:color="auto"/>
        </w:rPr>
        <w:t xml:space="preserve">15 </w:t>
      </w:r>
      <w:proofErr w:type="spellStart"/>
      <w:r w:rsidRPr="008C5194">
        <w:rPr>
          <w:rFonts w:eastAsia="Calibri"/>
          <w:b/>
          <w:bCs/>
          <w:bdr w:val="none" w:sz="0" w:space="0" w:color="auto"/>
        </w:rPr>
        <w:t>iulie</w:t>
      </w:r>
      <w:proofErr w:type="spellEnd"/>
      <w:r w:rsidRPr="008C5194">
        <w:rPr>
          <w:rFonts w:eastAsia="Calibri"/>
          <w:b/>
          <w:bCs/>
          <w:bdr w:val="none" w:sz="0" w:space="0" w:color="auto"/>
        </w:rPr>
        <w:t xml:space="preserve"> – 15 </w:t>
      </w:r>
      <w:proofErr w:type="spellStart"/>
      <w:r w:rsidRPr="008C5194">
        <w:rPr>
          <w:rFonts w:eastAsia="Calibri"/>
          <w:b/>
          <w:bCs/>
          <w:bdr w:val="none" w:sz="0" w:space="0" w:color="auto"/>
        </w:rPr>
        <w:t>octombrie</w:t>
      </w:r>
      <w:proofErr w:type="spellEnd"/>
      <w:r w:rsidRPr="008C5194">
        <w:rPr>
          <w:rFonts w:eastAsia="Calibri"/>
          <w:b/>
          <w:bCs/>
          <w:bdr w:val="none" w:sz="0" w:space="0" w:color="auto"/>
        </w:rPr>
        <w:t xml:space="preserve"> 2020</w:t>
      </w:r>
      <w:r w:rsidRPr="008C5194">
        <w:rPr>
          <w:rFonts w:ascii="Calibri" w:eastAsia="Calibri" w:hAnsi="Calibri" w:cs="Calibri"/>
          <w:b/>
          <w:bCs/>
          <w:bdr w:val="none" w:sz="0" w:space="0" w:color="auto"/>
        </w:rPr>
        <w:t xml:space="preserve"> </w:t>
      </w:r>
      <w:r w:rsidR="00BF19B8" w:rsidRPr="00BF19B8">
        <w:rPr>
          <w:rFonts w:eastAsia="Calibri"/>
          <w:bdr w:val="none" w:sz="0" w:space="0" w:color="auto"/>
          <w:lang w:val="ro-RO"/>
        </w:rPr>
        <w:t>sau până la epuizarea fondurilor alocate acestei sesiuni.</w:t>
      </w:r>
    </w:p>
    <w:p w:rsidR="002B6300" w:rsidRPr="002B6300" w:rsidRDefault="002B6300" w:rsidP="002B6300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2B6300" w:rsidRPr="002B6300" w:rsidRDefault="002B6300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proofErr w:type="gramStart"/>
      <w:r w:rsidRPr="002B6300">
        <w:rPr>
          <w:rFonts w:eastAsia="Times New Roman"/>
          <w:b/>
          <w:bCs/>
          <w:color w:val="000000"/>
          <w:bdr w:val="none" w:sz="0" w:space="0" w:color="auto"/>
          <w:lang w:eastAsia="ro-RO"/>
        </w:rPr>
        <w:t>Fondurile</w:t>
      </w:r>
      <w:proofErr w:type="spellEnd"/>
      <w:r w:rsidRPr="002B6300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/>
          <w:bCs/>
          <w:color w:val="000000"/>
          <w:bdr w:val="none" w:sz="0" w:space="0" w:color="auto"/>
          <w:lang w:eastAsia="ro-RO"/>
        </w:rPr>
        <w:t>disponibile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submăsura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6.1 „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Sprijin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instalarea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tinerilor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fermieri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”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sunt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43.022.207 Euro, din care 20.000.000 de euro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tinerii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>fermieri</w:t>
      </w:r>
      <w:proofErr w:type="spellEnd"/>
      <w:r w:rsidRPr="002B6300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din diaspora.</w:t>
      </w:r>
      <w:proofErr w:type="gramEnd"/>
    </w:p>
    <w:p w:rsidR="002B6300" w:rsidRDefault="002B6300" w:rsidP="00BC110A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2B6300" w:rsidRDefault="002B6300" w:rsidP="00BC110A">
      <w:pPr>
        <w:pStyle w:val="NoSpacing"/>
        <w:jc w:val="both"/>
        <w:rPr>
          <w:rFonts w:eastAsia="Times New Roman"/>
          <w:b/>
          <w:bCs/>
          <w:color w:val="000000"/>
          <w:bdr w:val="none" w:sz="0" w:space="0" w:color="auto"/>
          <w:lang w:eastAsia="ro-RO"/>
        </w:rPr>
      </w:pPr>
    </w:p>
    <w:p w:rsid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Tânărul</w:t>
      </w:r>
      <w:proofErr w:type="spellEnd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/>
          <w:bCs/>
          <w:color w:val="000000"/>
          <w:bdr w:val="none" w:sz="0" w:space="0" w:color="auto"/>
          <w:lang w:eastAsia="ro-RO"/>
        </w:rPr>
        <w:t>fermier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reprezintă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„o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persoană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cu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vârsta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până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la 40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inclusiv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cu o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zi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înainte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împlini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41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) la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momentul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depunerii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cererii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care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deține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competențele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și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calificările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profesionale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adecvate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și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care se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stabilește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prima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dată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într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-o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exploatație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șef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respectivei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exploatații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”.</w:t>
      </w:r>
    </w:p>
    <w:p w:rsidR="00123933" w:rsidRDefault="00123933" w:rsidP="00123933">
      <w:pPr>
        <w:pStyle w:val="NoSpacing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6A7278" w:rsidRPr="003124B1" w:rsidRDefault="006A7278" w:rsidP="00BF1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bdr w:val="none" w:sz="0" w:space="0" w:color="auto"/>
          <w:lang w:val="ro-RO"/>
        </w:rPr>
      </w:pPr>
      <w:r w:rsidRPr="003124B1">
        <w:rPr>
          <w:rFonts w:eastAsia="Times New Roman"/>
          <w:bdr w:val="none" w:sz="0" w:space="0" w:color="auto"/>
          <w:lang w:val="ro-RO"/>
        </w:rPr>
        <w:t xml:space="preserve">În cadrul acestei sesiuni de depunere de proiecte, </w:t>
      </w:r>
      <w:r w:rsidRPr="003124B1">
        <w:rPr>
          <w:rFonts w:eastAsia="Times New Roman"/>
          <w:b/>
          <w:bdr w:val="none" w:sz="0" w:space="0" w:color="auto"/>
          <w:lang w:val="ro-RO"/>
        </w:rPr>
        <w:t xml:space="preserve">vor beneficia de alocare distinctă tinerii </w:t>
      </w:r>
      <w:r w:rsidR="006357B0" w:rsidRPr="003124B1">
        <w:rPr>
          <w:rFonts w:eastAsia="Times New Roman"/>
          <w:b/>
          <w:bdr w:val="none" w:sz="0" w:space="0" w:color="auto"/>
          <w:lang w:val="ro-RO"/>
        </w:rPr>
        <w:t xml:space="preserve">cetățeni români </w:t>
      </w:r>
      <w:r w:rsidRPr="003124B1">
        <w:rPr>
          <w:rFonts w:eastAsia="Times New Roman"/>
          <w:b/>
          <w:bdr w:val="none" w:sz="0" w:space="0" w:color="auto"/>
          <w:lang w:val="ro-RO"/>
        </w:rPr>
        <w:t>din afara granițelor țării care se instalează ca șefi/manageri ai exploatației și care îndeplinesc cel puțin una dintre condițiile următoare</w:t>
      </w:r>
      <w:r w:rsidRPr="003124B1">
        <w:rPr>
          <w:rFonts w:eastAsia="Times New Roman"/>
          <w:bdr w:val="none" w:sz="0" w:space="0" w:color="auto"/>
          <w:lang w:val="ro-RO"/>
        </w:rPr>
        <w:t>:</w:t>
      </w:r>
    </w:p>
    <w:p w:rsidR="006A7278" w:rsidRPr="003124B1" w:rsidRDefault="006A7278" w:rsidP="006357B0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ro-RO"/>
        </w:rPr>
      </w:pPr>
      <w:r w:rsidRPr="003124B1">
        <w:rPr>
          <w:rFonts w:eastAsia="Times New Roman"/>
          <w:b/>
          <w:bdr w:val="none" w:sz="0" w:space="0" w:color="auto"/>
          <w:lang w:val="ro-RO"/>
        </w:rPr>
        <w:t>au absolvit în ultimul an</w:t>
      </w:r>
      <w:r w:rsidRPr="003124B1">
        <w:rPr>
          <w:rFonts w:eastAsia="Times New Roman"/>
          <w:bdr w:val="none" w:sz="0" w:space="0" w:color="auto"/>
          <w:lang w:val="ro-RO"/>
        </w:rPr>
        <w:t xml:space="preserve"> </w:t>
      </w:r>
      <w:r w:rsidR="006357B0" w:rsidRPr="003124B1">
        <w:rPr>
          <w:rFonts w:eastAsia="Times New Roman"/>
          <w:bdr w:val="none" w:sz="0" w:space="0" w:color="auto"/>
          <w:lang w:val="ro-RO"/>
        </w:rPr>
        <w:t xml:space="preserve">calendaristic </w:t>
      </w:r>
      <w:r w:rsidRPr="003124B1">
        <w:rPr>
          <w:rFonts w:eastAsia="Times New Roman"/>
          <w:bdr w:val="none" w:sz="0" w:space="0" w:color="auto"/>
          <w:lang w:val="ro-RO"/>
        </w:rPr>
        <w:t>dinaintea depunerii cererii de finanțare</w:t>
      </w:r>
      <w:r w:rsidRPr="003124B1">
        <w:rPr>
          <w:rFonts w:eastAsia="Times New Roman"/>
          <w:b/>
          <w:bdr w:val="none" w:sz="0" w:space="0" w:color="auto"/>
          <w:lang w:val="ro-RO"/>
        </w:rPr>
        <w:t xml:space="preserve"> un program de studiu</w:t>
      </w:r>
      <w:r w:rsidRPr="003124B1">
        <w:rPr>
          <w:rFonts w:eastAsia="Times New Roman"/>
          <w:bdr w:val="none" w:sz="0" w:space="0" w:color="auto"/>
          <w:lang w:val="ro-RO"/>
        </w:rPr>
        <w:t xml:space="preserve"> în domeniul agricol: postuniversitar, universitar, preuniversitar</w:t>
      </w:r>
      <w:r w:rsidR="006357B0" w:rsidRPr="003124B1">
        <w:rPr>
          <w:rFonts w:eastAsia="Times New Roman"/>
          <w:bdr w:val="none" w:sz="0" w:space="0" w:color="auto"/>
          <w:lang w:val="ro-RO"/>
        </w:rPr>
        <w:t xml:space="preserve"> atât din țări membre UE, cât și din țări terțe UE;</w:t>
      </w:r>
    </w:p>
    <w:p w:rsidR="006A7278" w:rsidRPr="003124B1" w:rsidRDefault="006357B0" w:rsidP="006A7278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ro-RO"/>
        </w:rPr>
      </w:pPr>
      <w:r w:rsidRPr="003124B1">
        <w:rPr>
          <w:rFonts w:eastAsia="Times New Roman"/>
          <w:b/>
          <w:bdr w:val="none" w:sz="0" w:space="0" w:color="auto"/>
          <w:lang w:val="ro-RO"/>
        </w:rPr>
        <w:t xml:space="preserve">au </w:t>
      </w:r>
      <w:r w:rsidR="006A7278" w:rsidRPr="003124B1">
        <w:rPr>
          <w:rFonts w:eastAsia="Times New Roman"/>
          <w:b/>
          <w:bdr w:val="none" w:sz="0" w:space="0" w:color="auto"/>
          <w:lang w:val="ro-RO"/>
        </w:rPr>
        <w:t>avut un loc de muncă</w:t>
      </w:r>
      <w:r w:rsidRPr="003124B1">
        <w:rPr>
          <w:rFonts w:eastAsia="Times New Roman"/>
          <w:bdr w:val="none" w:sz="0" w:space="0" w:color="auto"/>
          <w:lang w:val="ro-RO"/>
        </w:rPr>
        <w:t xml:space="preserve"> </w:t>
      </w:r>
      <w:r w:rsidRPr="003124B1">
        <w:rPr>
          <w:rFonts w:eastAsia="Times New Roman"/>
          <w:b/>
          <w:bdr w:val="none" w:sz="0" w:space="0" w:color="auto"/>
          <w:lang w:val="ro-RO"/>
        </w:rPr>
        <w:t>atât din țări membre UE, cât și din țări terțe UE</w:t>
      </w:r>
      <w:r w:rsidR="006A7278" w:rsidRPr="003124B1">
        <w:rPr>
          <w:rFonts w:eastAsia="Times New Roman"/>
          <w:b/>
          <w:bdr w:val="none" w:sz="0" w:space="0" w:color="auto"/>
          <w:lang w:val="ro-RO"/>
        </w:rPr>
        <w:t xml:space="preserve"> în domeniul agricol</w:t>
      </w:r>
      <w:r w:rsidRPr="003124B1">
        <w:rPr>
          <w:rFonts w:eastAsia="Times New Roman"/>
          <w:b/>
          <w:bdr w:val="none" w:sz="0" w:space="0" w:color="auto"/>
          <w:lang w:val="ro-RO"/>
        </w:rPr>
        <w:t>,</w:t>
      </w:r>
      <w:r w:rsidR="006A7278" w:rsidRPr="003124B1">
        <w:rPr>
          <w:rFonts w:eastAsia="Times New Roman"/>
          <w:b/>
          <w:bdr w:val="none" w:sz="0" w:space="0" w:color="auto"/>
          <w:lang w:val="ro-RO"/>
        </w:rPr>
        <w:t xml:space="preserve"> cel puțin 3 luni în ultimul an</w:t>
      </w:r>
      <w:r w:rsidR="006A7278" w:rsidRPr="003124B1">
        <w:rPr>
          <w:rFonts w:eastAsia="Times New Roman"/>
          <w:bdr w:val="none" w:sz="0" w:space="0" w:color="auto"/>
          <w:lang w:val="ro-RO"/>
        </w:rPr>
        <w:t xml:space="preserve"> dinaintea depunerii cererii de finanțare</w:t>
      </w:r>
      <w:r w:rsidR="00714528" w:rsidRPr="003124B1">
        <w:rPr>
          <w:rFonts w:eastAsia="Times New Roman"/>
          <w:bdr w:val="none" w:sz="0" w:space="0" w:color="auto"/>
          <w:lang w:val="ro-RO"/>
        </w:rPr>
        <w:t>.</w:t>
      </w:r>
      <w:r w:rsidR="006A7278" w:rsidRPr="003124B1">
        <w:rPr>
          <w:rFonts w:eastAsia="Times New Roman"/>
          <w:bdr w:val="none" w:sz="0" w:space="0" w:color="auto"/>
          <w:lang w:val="ro-RO"/>
        </w:rPr>
        <w:t xml:space="preserve"> </w:t>
      </w:r>
    </w:p>
    <w:p w:rsidR="006A7278" w:rsidRPr="003124B1" w:rsidRDefault="006A7278" w:rsidP="006A7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dr w:val="none" w:sz="0" w:space="0" w:color="auto"/>
          <w:lang w:val="ro-RO"/>
        </w:rPr>
      </w:pPr>
    </w:p>
    <w:p w:rsidR="006A7278" w:rsidRPr="003124B1" w:rsidRDefault="006A7278" w:rsidP="00BF1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eastAsia="Times New Roman"/>
          <w:bdr w:val="none" w:sz="0" w:space="0" w:color="auto"/>
          <w:lang w:val="ro-RO"/>
        </w:rPr>
      </w:pPr>
      <w:r w:rsidRPr="003124B1">
        <w:rPr>
          <w:rFonts w:eastAsia="Times New Roman"/>
          <w:bdr w:val="none" w:sz="0" w:space="0" w:color="auto"/>
          <w:lang w:val="ro-RO"/>
        </w:rPr>
        <w:t>Pentru dovada locului de muncă solicitanții vor prezenta un document oficial a cărui origine va fi autentificată prin apostilă emisă conform Convenției de la Haga. În cazul statelor nesemnatare a Convenției de la Haga se va face dovada rezidenței (cel puțin 3 luni în ultimul an dinaintea depunerii cererii de finanțare).</w:t>
      </w:r>
    </w:p>
    <w:p w:rsidR="006A7278" w:rsidRPr="003124B1" w:rsidRDefault="006A7278" w:rsidP="00123933">
      <w:pPr>
        <w:pStyle w:val="NoSpacing"/>
        <w:rPr>
          <w:rFonts w:eastAsia="Times New Roman"/>
          <w:bCs/>
          <w:bdr w:val="none" w:sz="0" w:space="0" w:color="auto"/>
          <w:lang w:eastAsia="ro-RO"/>
        </w:rPr>
      </w:pPr>
    </w:p>
    <w:p w:rsidR="00123933" w:rsidRPr="003124B1" w:rsidRDefault="00123933" w:rsidP="00BF19B8">
      <w:pPr>
        <w:pStyle w:val="NoSpacing"/>
        <w:ind w:firstLine="720"/>
        <w:jc w:val="both"/>
        <w:rPr>
          <w:rFonts w:eastAsia="Times New Roman"/>
          <w:bCs/>
          <w:bdr w:val="none" w:sz="0" w:space="0" w:color="auto"/>
          <w:lang w:val="ro-RO" w:eastAsia="ro-RO"/>
        </w:rPr>
      </w:pPr>
      <w:r w:rsidRPr="003124B1">
        <w:rPr>
          <w:rFonts w:eastAsia="Times New Roman"/>
          <w:b/>
          <w:bCs/>
          <w:bdr w:val="none" w:sz="0" w:space="0" w:color="auto"/>
          <w:lang w:val="ro-RO" w:eastAsia="ro-RO"/>
        </w:rPr>
        <w:t xml:space="preserve">Exploataţia </w:t>
      </w:r>
      <w:r w:rsidR="006357B0" w:rsidRPr="003124B1">
        <w:rPr>
          <w:rFonts w:eastAsia="Times New Roman"/>
          <w:b/>
          <w:bCs/>
          <w:bdr w:val="none" w:sz="0" w:space="0" w:color="auto"/>
          <w:lang w:val="ro-RO" w:eastAsia="ro-RO"/>
        </w:rPr>
        <w:t xml:space="preserve">pentru care se solicită finanțarea </w:t>
      </w:r>
      <w:r w:rsidRPr="003124B1">
        <w:rPr>
          <w:rFonts w:eastAsia="Times New Roman"/>
          <w:b/>
          <w:bCs/>
          <w:bdr w:val="none" w:sz="0" w:space="0" w:color="auto"/>
          <w:lang w:val="ro-RO" w:eastAsia="ro-RO"/>
        </w:rPr>
        <w:t>trebuie să îndeplinească următoarele condiţii</w:t>
      </w:r>
      <w:r w:rsidRPr="003124B1">
        <w:rPr>
          <w:rFonts w:eastAsia="Times New Roman"/>
          <w:bCs/>
          <w:bdr w:val="none" w:sz="0" w:space="0" w:color="auto"/>
          <w:lang w:val="ro-RO" w:eastAsia="ro-RO"/>
        </w:rPr>
        <w:t xml:space="preserve">: </w:t>
      </w:r>
    </w:p>
    <w:p w:rsidR="00123933" w:rsidRPr="003124B1" w:rsidRDefault="00123933" w:rsidP="00123933">
      <w:pPr>
        <w:pStyle w:val="NoSpacing"/>
        <w:numPr>
          <w:ilvl w:val="0"/>
          <w:numId w:val="10"/>
        </w:numPr>
        <w:jc w:val="both"/>
        <w:rPr>
          <w:rFonts w:eastAsia="Times New Roman"/>
          <w:bCs/>
          <w:bdr w:val="none" w:sz="0" w:space="0" w:color="auto"/>
          <w:lang w:val="ro-RO" w:eastAsia="ro-RO"/>
        </w:rPr>
      </w:pPr>
      <w:r w:rsidRPr="003124B1">
        <w:rPr>
          <w:rFonts w:eastAsia="Times New Roman"/>
          <w:bCs/>
          <w:bdr w:val="none" w:sz="0" w:space="0" w:color="auto"/>
          <w:lang w:val="ro-RO" w:eastAsia="ro-RO"/>
        </w:rPr>
        <w:t xml:space="preserve">are o dimensiune economică cuprinsă între 12.000 – 50.000 SO; </w:t>
      </w:r>
      <w:r w:rsidR="007F3526" w:rsidRPr="007F3526">
        <w:rPr>
          <w:rFonts w:eastAsia="Times New Roman"/>
          <w:bCs/>
          <w:bdr w:val="none" w:sz="0" w:space="0" w:color="auto"/>
          <w:lang w:eastAsia="ro-RO"/>
        </w:rPr>
        <w:t>(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dimensiunea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exploatației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agricole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se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poate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calcula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și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prin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noua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aplicație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pusă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la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dispoziția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publicului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pe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</w:t>
      </w:r>
      <w:proofErr w:type="spellStart"/>
      <w:r w:rsidR="007F3526" w:rsidRPr="007F3526">
        <w:rPr>
          <w:rFonts w:eastAsia="Times New Roman"/>
          <w:bCs/>
          <w:bdr w:val="none" w:sz="0" w:space="0" w:color="auto"/>
          <w:lang w:eastAsia="ro-RO"/>
        </w:rPr>
        <w:t>pagina</w:t>
      </w:r>
      <w:proofErr w:type="spellEnd"/>
      <w:r w:rsidR="007F3526" w:rsidRPr="007F3526">
        <w:rPr>
          <w:rFonts w:eastAsia="Times New Roman"/>
          <w:bCs/>
          <w:bdr w:val="none" w:sz="0" w:space="0" w:color="auto"/>
          <w:lang w:eastAsia="ro-RO"/>
        </w:rPr>
        <w:t xml:space="preserve"> de internet a AFIR - </w:t>
      </w:r>
      <w:hyperlink r:id="rId9" w:tgtFrame="_blank" w:history="1">
        <w:r w:rsidR="007F3526" w:rsidRPr="007F3526">
          <w:rPr>
            <w:rStyle w:val="Hyperlink"/>
            <w:rFonts w:eastAsia="Times New Roman"/>
            <w:bCs/>
            <w:bdr w:val="none" w:sz="0" w:space="0" w:color="auto"/>
            <w:lang w:eastAsia="ro-RO"/>
          </w:rPr>
          <w:t>http://so.afir.info/</w:t>
        </w:r>
      </w:hyperlink>
      <w:r w:rsidR="007F3526">
        <w:rPr>
          <w:rFonts w:eastAsia="Times New Roman"/>
          <w:bCs/>
          <w:bdr w:val="none" w:sz="0" w:space="0" w:color="auto"/>
          <w:lang w:eastAsia="ro-RO"/>
        </w:rPr>
        <w:t>);</w:t>
      </w:r>
    </w:p>
    <w:p w:rsidR="00123933" w:rsidRPr="003124B1" w:rsidRDefault="00123933" w:rsidP="00123933">
      <w:pPr>
        <w:pStyle w:val="NoSpacing"/>
        <w:numPr>
          <w:ilvl w:val="0"/>
          <w:numId w:val="10"/>
        </w:numPr>
        <w:jc w:val="both"/>
        <w:rPr>
          <w:rFonts w:eastAsia="Times New Roman"/>
          <w:bCs/>
          <w:bdr w:val="none" w:sz="0" w:space="0" w:color="auto"/>
          <w:lang w:val="ro-RO" w:eastAsia="ro-RO"/>
        </w:rPr>
      </w:pPr>
      <w:r w:rsidRPr="003124B1">
        <w:rPr>
          <w:rFonts w:eastAsia="Times New Roman"/>
          <w:bCs/>
          <w:bdr w:val="none" w:sz="0" w:space="0" w:color="auto"/>
          <w:lang w:val="ro-RO" w:eastAsia="ro-RO"/>
        </w:rPr>
        <w:t xml:space="preserve">este înregistrată ca microîntreprindere/ întreprindere mică; </w:t>
      </w:r>
    </w:p>
    <w:p w:rsidR="00123933" w:rsidRPr="003124B1" w:rsidRDefault="00123933" w:rsidP="00123933">
      <w:pPr>
        <w:pStyle w:val="NoSpacing"/>
        <w:numPr>
          <w:ilvl w:val="0"/>
          <w:numId w:val="10"/>
        </w:numPr>
        <w:jc w:val="both"/>
        <w:rPr>
          <w:rFonts w:eastAsia="Times New Roman"/>
          <w:bCs/>
          <w:bdr w:val="none" w:sz="0" w:space="0" w:color="auto"/>
          <w:lang w:val="ro-RO" w:eastAsia="ro-RO"/>
        </w:rPr>
      </w:pPr>
      <w:r w:rsidRPr="003124B1">
        <w:rPr>
          <w:rFonts w:eastAsia="Times New Roman"/>
          <w:bCs/>
          <w:bdr w:val="none" w:sz="0" w:space="0" w:color="auto"/>
          <w:lang w:val="ro-RO" w:eastAsia="ro-RO"/>
        </w:rPr>
        <w:t>este înregistrată obligatoriu în Registrul Unic de Identificare – APIA, în Registrul agricol și/ sau în Registrul exploatațiilor – ANSVSA.</w:t>
      </w:r>
    </w:p>
    <w:p w:rsidR="00123933" w:rsidRPr="00123933" w:rsidRDefault="00123933" w:rsidP="00123933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 </w:t>
      </w:r>
    </w:p>
    <w:p w:rsidR="006357B0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lastRenderedPageBreak/>
        <w:t>Exploataţia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trebuie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fie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înregistrată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solicitant,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nume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propriu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conform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formei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organizare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accesarea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sprijinului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la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Primărie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Registrul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la APIA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Registrul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Unic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Identificare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la ANSVSA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Registrul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Exploataţiilor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–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după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caz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înainte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solicitarea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sprijinului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instalarea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tinerilor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fermieri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.</w:t>
      </w:r>
    </w:p>
    <w:p w:rsidR="00123933" w:rsidRPr="00123933" w:rsidRDefault="00123933" w:rsidP="00123933">
      <w:pPr>
        <w:pStyle w:val="NoSpacing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123933" w:rsidRDefault="00123933" w:rsidP="00BF19B8">
      <w:pPr>
        <w:pStyle w:val="NoSpacing"/>
        <w:ind w:firstLine="720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  <w:t>Categoriile de solicitanţi eligibili</w:t>
      </w: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 în funcție de forma de organizare sunt:</w:t>
      </w:r>
    </w:p>
    <w:p w:rsidR="00123933" w:rsidRPr="00123933" w:rsidRDefault="00123933" w:rsidP="00123933">
      <w:pPr>
        <w:pStyle w:val="NoSpacing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 </w:t>
      </w:r>
    </w:p>
    <w:p w:rsidR="00123933" w:rsidRPr="00123933" w:rsidRDefault="00123933" w:rsidP="00123933">
      <w:pPr>
        <w:pStyle w:val="NoSpacing"/>
        <w:numPr>
          <w:ilvl w:val="0"/>
          <w:numId w:val="11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persoană fizică înregistrată şi autorizată în conformitate cu prevederile Ordonanţei de Urgenţă a Guvernului nr. 44/2008, cu modificările şi completările ulterioare: </w:t>
      </w:r>
    </w:p>
    <w:p w:rsidR="00123933" w:rsidRPr="00123933" w:rsidRDefault="00123933" w:rsidP="00123933">
      <w:pPr>
        <w:pStyle w:val="NoSpacing"/>
        <w:numPr>
          <w:ilvl w:val="0"/>
          <w:numId w:val="12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individual şi independent, ca persoană fizică autorizată (PFA); </w:t>
      </w:r>
    </w:p>
    <w:p w:rsidR="00123933" w:rsidRPr="00123933" w:rsidRDefault="00123933" w:rsidP="00123933">
      <w:pPr>
        <w:pStyle w:val="NoSpacing"/>
        <w:numPr>
          <w:ilvl w:val="0"/>
          <w:numId w:val="12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>întreprinzător titular al unei întreprinderi individuale (II);</w:t>
      </w:r>
    </w:p>
    <w:p w:rsidR="00123933" w:rsidRPr="00123933" w:rsidRDefault="00123933" w:rsidP="00123933">
      <w:pPr>
        <w:pStyle w:val="NoSpacing"/>
        <w:numPr>
          <w:ilvl w:val="0"/>
          <w:numId w:val="12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întreprinzător titular al unei întreprinderi familiale (IF). </w:t>
      </w:r>
    </w:p>
    <w:p w:rsidR="00C35B77" w:rsidRPr="0028369F" w:rsidRDefault="00123933" w:rsidP="0028369F">
      <w:pPr>
        <w:pStyle w:val="NoSpacing"/>
        <w:numPr>
          <w:ilvl w:val="0"/>
          <w:numId w:val="11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>asociat unic şi administrator al unei societăţi cu răspundere limitată – SRL, înfiinţată în baza Legii nr. 31/1990 republicată, cu modificările şi completările ulterioare;</w:t>
      </w:r>
    </w:p>
    <w:p w:rsidR="00123933" w:rsidRDefault="00123933" w:rsidP="00123933">
      <w:pPr>
        <w:pStyle w:val="NoSpacing"/>
        <w:numPr>
          <w:ilvl w:val="0"/>
          <w:numId w:val="11"/>
        </w:numPr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asociat majoritar (majoritate absolută 50%+1) și administrator al unei societăţi cu răspundere limitată – SRL, înfiinţată în baza Legii nr. 31/1990 republicată, cu modificările şi completările ulterioare. </w:t>
      </w:r>
    </w:p>
    <w:p w:rsidR="00123933" w:rsidRDefault="00123933" w:rsidP="00123933">
      <w:pPr>
        <w:pStyle w:val="NoSpacing"/>
        <w:ind w:left="720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</w:p>
    <w:p w:rsidR="00505BF3" w:rsidRPr="00505BF3" w:rsidRDefault="00505BF3" w:rsidP="00BF19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20"/>
        <w:jc w:val="both"/>
        <w:rPr>
          <w:rFonts w:eastAsia="Times New Roman"/>
          <w:bdr w:val="none" w:sz="0" w:space="0" w:color="auto"/>
          <w:lang w:val="ro-RO"/>
        </w:rPr>
      </w:pPr>
      <w:r w:rsidRPr="00505BF3">
        <w:rPr>
          <w:rFonts w:eastAsia="Times New Roman"/>
          <w:bdr w:val="none" w:sz="0" w:space="0" w:color="auto"/>
          <w:lang w:val="ro-RO"/>
        </w:rPr>
        <w:t>Tânărul care se instalează (cel care reprezintă societatea în relaţia cu AFIR) va fi membrul asociat</w:t>
      </w:r>
      <w:r w:rsidRPr="00505BF3">
        <w:rPr>
          <w:rFonts w:eastAsia="Times New Roman"/>
          <w:b/>
          <w:bdr w:val="none" w:sz="0" w:space="0" w:color="auto"/>
          <w:lang w:val="ro-RO"/>
        </w:rPr>
        <w:t xml:space="preserve"> </w:t>
      </w:r>
      <w:r w:rsidRPr="00505BF3">
        <w:rPr>
          <w:rFonts w:eastAsia="Times New Roman"/>
          <w:bdr w:val="none" w:sz="0" w:space="0" w:color="auto"/>
          <w:lang w:val="ro-RO"/>
        </w:rPr>
        <w:t>desemnat de către asociaţi ca</w:t>
      </w:r>
      <w:r w:rsidRPr="00505BF3">
        <w:rPr>
          <w:rFonts w:eastAsia="Times New Roman"/>
          <w:b/>
          <w:bdr w:val="none" w:sz="0" w:space="0" w:color="auto"/>
          <w:lang w:val="ro-RO"/>
        </w:rPr>
        <w:t xml:space="preserve"> administrator </w:t>
      </w:r>
      <w:r w:rsidRPr="00505BF3">
        <w:rPr>
          <w:rFonts w:eastAsia="Times New Roman"/>
          <w:bdr w:val="none" w:sz="0" w:space="0" w:color="auto"/>
          <w:lang w:val="ro-RO"/>
        </w:rPr>
        <w:t xml:space="preserve">al societăţii. </w:t>
      </w:r>
    </w:p>
    <w:p w:rsidR="00505BF3" w:rsidRPr="00123933" w:rsidRDefault="00505BF3" w:rsidP="00123933">
      <w:pPr>
        <w:pStyle w:val="NoSpacing"/>
        <w:ind w:left="720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Un</w:t>
      </w:r>
      <w:proofErr w:type="gram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tânăr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fermier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poate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face parte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dintr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-o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cooperativă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sau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un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grup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producători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sau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înscrie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ulterior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instalării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într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-o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astfel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formă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asociere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cu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condiţia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menţinerii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statutului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şef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.</w:t>
      </w: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Este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permisă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accesarea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submăsurii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non-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6.2/ 6.4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același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timp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cu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submăsura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6.1,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dar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prin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Cereri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finanțare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diferite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.</w:t>
      </w:r>
      <w:proofErr w:type="gramEnd"/>
    </w:p>
    <w:p w:rsid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agricolă</w:t>
      </w:r>
      <w:proofErr w:type="spellEnd"/>
      <w:proofErr w:type="gram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cu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dimensiunea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cuprinsă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între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12.000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50.000 SO produce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principal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produse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vegetale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/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sau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animale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materie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primă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)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consum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uman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hrana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animalelor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.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dimensiunea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economică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agricole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culturile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animalele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care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asigură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consumul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uman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hrana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animalelor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trebuie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reprezinte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peste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75% din total SO,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atât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0,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cât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la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solicitarea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acordării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celei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doua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tranşe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plată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toată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perioada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implementare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şi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monitorizare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proiectului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).</w:t>
      </w:r>
    </w:p>
    <w:p w:rsidR="00123933" w:rsidRPr="00123933" w:rsidRDefault="00123933" w:rsidP="00123933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  <w:t xml:space="preserve">Valoarea sprijinului nerambursabil </w:t>
      </w: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Sprijinul public nerambursabil se acordă pentru o perioadă de maxim trei/ cinci ani (perioada de cinci ani se aplică doar pentru sectorul pomicol) și este de: </w:t>
      </w:r>
    </w:p>
    <w:p w:rsidR="00123933" w:rsidRPr="00123933" w:rsidRDefault="00123933" w:rsidP="00123933">
      <w:pPr>
        <w:pStyle w:val="NoSpacing"/>
        <w:numPr>
          <w:ilvl w:val="0"/>
          <w:numId w:val="13"/>
        </w:numPr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50.000 de euro pentru exploatațiile între 30.000 S.O. și 50.000 SO </w:t>
      </w:r>
    </w:p>
    <w:p w:rsidR="00123933" w:rsidRPr="00123933" w:rsidRDefault="00123933" w:rsidP="00123933">
      <w:pPr>
        <w:pStyle w:val="NoSpacing"/>
        <w:numPr>
          <w:ilvl w:val="0"/>
          <w:numId w:val="13"/>
        </w:numPr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40.000 de euro pentru exploatațiile între 12.000 S.O. și 29.999 SO </w:t>
      </w:r>
    </w:p>
    <w:p w:rsidR="00123933" w:rsidRPr="00123933" w:rsidRDefault="00123933" w:rsidP="00123933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Sprijinul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pentru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instalarea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tinerilor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fermieri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se </w:t>
      </w:r>
      <w:proofErr w:type="spellStart"/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va</w:t>
      </w:r>
      <w:proofErr w:type="spellEnd"/>
      <w:proofErr w:type="gram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acorda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sub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formă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sumă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forfetară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două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tranșe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astfel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:</w:t>
      </w:r>
    </w:p>
    <w:p w:rsidR="00123933" w:rsidRPr="00123933" w:rsidRDefault="00123933" w:rsidP="00123933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</w:p>
    <w:p w:rsidR="00123933" w:rsidRPr="00123933" w:rsidRDefault="00123933" w:rsidP="00123933">
      <w:pPr>
        <w:pStyle w:val="NoSpacing"/>
        <w:numPr>
          <w:ilvl w:val="0"/>
          <w:numId w:val="14"/>
        </w:numPr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75% din cuantumul sprijinului la semnarea Contractului de finanțare; </w:t>
      </w:r>
    </w:p>
    <w:p w:rsidR="00123933" w:rsidRPr="00123933" w:rsidRDefault="00123933" w:rsidP="00123933">
      <w:pPr>
        <w:pStyle w:val="NoSpacing"/>
        <w:numPr>
          <w:ilvl w:val="0"/>
          <w:numId w:val="14"/>
        </w:numPr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123933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25% din cuantumul sprijinului se va acorda în funcţie de implementarea corectă a Planului de afaceri, fără a depăși trei* ani (*cinci ani pentru exploatațiile pomicole), de la semnarea contractului de finanțare. </w:t>
      </w:r>
    </w:p>
    <w:p w:rsidR="00123933" w:rsidRPr="00123933" w:rsidRDefault="00123933" w:rsidP="00D904F6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123933" w:rsidRPr="00123933" w:rsidRDefault="00123933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cazul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exploataţiilor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mixte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când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proiectul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fost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încadrat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pe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sectorul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vegetal/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zootehnic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aceasta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reprezentând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componenta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majoritară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măsurată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SO din total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),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analiza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SO a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grupei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cultură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/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animale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se </w:t>
      </w:r>
      <w:proofErr w:type="spellStart"/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va</w:t>
      </w:r>
      <w:proofErr w:type="spellEnd"/>
      <w:proofErr w:type="gram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face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comparativ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cu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totalul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SO 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sectorului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vegetal/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zootehnic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, nu cu total SO al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.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Astfel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încadrarea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se </w:t>
      </w:r>
      <w:proofErr w:type="spellStart"/>
      <w:proofErr w:type="gram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va</w:t>
      </w:r>
      <w:proofErr w:type="spellEnd"/>
      <w:proofErr w:type="gram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face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ţinând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cont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tipul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exploataţiei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zootehnică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/</w:t>
      </w:r>
      <w:proofErr w:type="spellStart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vegetală</w:t>
      </w:r>
      <w:proofErr w:type="spellEnd"/>
      <w:r w:rsidRPr="00123933">
        <w:rPr>
          <w:rFonts w:eastAsia="Times New Roman"/>
          <w:bCs/>
          <w:color w:val="000000"/>
          <w:bdr w:val="none" w:sz="0" w:space="0" w:color="auto"/>
          <w:lang w:eastAsia="ro-RO"/>
        </w:rPr>
        <w:t>).</w:t>
      </w:r>
    </w:p>
    <w:p w:rsidR="00123933" w:rsidRDefault="00123933" w:rsidP="00D904F6">
      <w:pPr>
        <w:pStyle w:val="NoSpacing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3124B1" w:rsidRPr="003124B1" w:rsidRDefault="003124B1" w:rsidP="00BF19B8">
      <w:pPr>
        <w:pStyle w:val="NoSpacing"/>
        <w:ind w:firstLine="720"/>
        <w:jc w:val="both"/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</w:pPr>
      <w:r w:rsidRPr="003124B1">
        <w:rPr>
          <w:rFonts w:eastAsia="Times New Roman"/>
          <w:b/>
          <w:bCs/>
          <w:color w:val="000000"/>
          <w:bdr w:val="none" w:sz="0" w:space="0" w:color="auto"/>
          <w:lang w:val="ro-RO" w:eastAsia="ro-RO"/>
        </w:rPr>
        <w:t>Cheltuieli eligibile</w:t>
      </w:r>
    </w:p>
    <w:p w:rsidR="0028369F" w:rsidRDefault="0028369F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val="ro-RO" w:eastAsia="ro-RO"/>
        </w:rPr>
      </w:pPr>
      <w:r w:rsidRPr="0028369F">
        <w:rPr>
          <w:rFonts w:eastAsia="Times New Roman"/>
          <w:bCs/>
          <w:color w:val="000000"/>
          <w:bdr w:val="none" w:sz="0" w:space="0" w:color="auto"/>
          <w:lang w:val="ro-RO" w:eastAsia="ro-RO"/>
        </w:rPr>
        <w:t>Pot fi eligibile toate cheltuielile propuse în Planul de afaceri indiferent de natura acestora, respectând condiţiile prevăzute în Ghidul Solicitantului şi în Fişa tehnică a submăsurii 6.1</w:t>
      </w:r>
      <w:r w:rsidR="003124B1">
        <w:rPr>
          <w:rFonts w:eastAsia="Times New Roman"/>
          <w:bCs/>
          <w:color w:val="000000"/>
          <w:bdr w:val="none" w:sz="0" w:space="0" w:color="auto"/>
          <w:lang w:val="ro-RO" w:eastAsia="ro-RO"/>
        </w:rPr>
        <w:t xml:space="preserve">: </w:t>
      </w:r>
      <w:r w:rsidRPr="0028369F">
        <w:rPr>
          <w:rFonts w:eastAsia="Times New Roman"/>
          <w:bCs/>
          <w:color w:val="000000"/>
          <w:bdr w:val="none" w:sz="0" w:space="0" w:color="auto"/>
          <w:lang w:val="ro-RO" w:eastAsia="ro-RO"/>
        </w:rPr>
        <w:t>capitalul de lucru, achiziţia de teren sau material biologic, efectuare de studii precum cel pentru sectorul pomicol sau privind potenţialul agricol (dacă e cazul) precum şi activităţile relevante pentru implementarea corect</w:t>
      </w:r>
      <w:r w:rsidR="00961BF8">
        <w:rPr>
          <w:rFonts w:eastAsia="Times New Roman"/>
          <w:bCs/>
          <w:color w:val="000000"/>
          <w:bdr w:val="none" w:sz="0" w:space="0" w:color="auto"/>
          <w:lang w:val="ro-RO" w:eastAsia="ro-RO"/>
        </w:rPr>
        <w:t>ă a Planului de Afaceri aprobat</w:t>
      </w:r>
      <w:r w:rsidRPr="0028369F">
        <w:rPr>
          <w:rFonts w:eastAsia="Times New Roman"/>
          <w:bCs/>
          <w:color w:val="000000"/>
          <w:bdr w:val="none" w:sz="0" w:space="0" w:color="auto"/>
          <w:lang w:val="ro-RO" w:eastAsia="ro-RO"/>
        </w:rPr>
        <w:t>.</w:t>
      </w:r>
    </w:p>
    <w:p w:rsidR="00195F1F" w:rsidRPr="00195F1F" w:rsidRDefault="00195F1F" w:rsidP="00195F1F">
      <w:pPr>
        <w:pStyle w:val="NoSpacing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195F1F" w:rsidRPr="00195F1F" w:rsidRDefault="00195F1F" w:rsidP="00BF19B8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>
        <w:rPr>
          <w:rFonts w:eastAsia="Times New Roman"/>
          <w:b/>
          <w:bCs/>
          <w:color w:val="000000"/>
          <w:bdr w:val="none" w:sz="0" w:space="0" w:color="auto"/>
          <w:lang w:eastAsia="ro-RO"/>
        </w:rPr>
        <w:t>P</w:t>
      </w: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ragul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minim </w:t>
      </w:r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de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sele</w:t>
      </w:r>
      <w:r>
        <w:rPr>
          <w:rFonts w:eastAsia="Times New Roman"/>
          <w:bCs/>
          <w:color w:val="000000"/>
          <w:bdr w:val="none" w:sz="0" w:space="0" w:color="auto"/>
          <w:lang w:eastAsia="ro-RO"/>
        </w:rPr>
        <w:t>cție</w:t>
      </w:r>
      <w:proofErr w:type="spellEnd"/>
      <w:r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al </w:t>
      </w:r>
      <w:proofErr w:type="spellStart"/>
      <w:r>
        <w:rPr>
          <w:rFonts w:eastAsia="Times New Roman"/>
          <w:bCs/>
          <w:color w:val="000000"/>
          <w:bdr w:val="none" w:sz="0" w:space="0" w:color="auto"/>
          <w:lang w:eastAsia="ro-RO"/>
        </w:rPr>
        <w:t>proiectelor</w:t>
      </w:r>
      <w:proofErr w:type="spellEnd"/>
      <w:r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>
        <w:rPr>
          <w:rFonts w:eastAsia="Times New Roman"/>
          <w:bCs/>
          <w:color w:val="000000"/>
          <w:bdr w:val="none" w:sz="0" w:space="0" w:color="auto"/>
          <w:lang w:eastAsia="ro-RO"/>
        </w:rPr>
        <w:t>aferente</w:t>
      </w:r>
      <w:proofErr w:type="spellEnd"/>
      <w:r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>
        <w:rPr>
          <w:rFonts w:eastAsia="Times New Roman"/>
          <w:bCs/>
          <w:color w:val="000000"/>
          <w:bdr w:val="none" w:sz="0" w:space="0" w:color="auto"/>
          <w:lang w:eastAsia="ro-RO"/>
        </w:rPr>
        <w:t>Submăsurii</w:t>
      </w:r>
      <w:proofErr w:type="spellEnd"/>
      <w:r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6.1 </w:t>
      </w:r>
      <w:proofErr w:type="spellStart"/>
      <w:proofErr w:type="gram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este</w:t>
      </w:r>
      <w:proofErr w:type="spellEnd"/>
      <w:proofErr w:type="gram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25 de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puncte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. </w:t>
      </w:r>
    </w:p>
    <w:p w:rsidR="00195F1F" w:rsidRDefault="00195F1F" w:rsidP="0046397F">
      <w:pPr>
        <w:pStyle w:val="NoSpacing"/>
        <w:ind w:firstLine="720"/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>
        <w:rPr>
          <w:rFonts w:eastAsia="Times New Roman"/>
          <w:b/>
          <w:bCs/>
          <w:color w:val="000000"/>
          <w:bdr w:val="none" w:sz="0" w:space="0" w:color="auto"/>
          <w:lang w:eastAsia="ro-RO"/>
        </w:rPr>
        <w:t>P</w:t>
      </w: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ragurile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calitate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lunare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sunt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următoarele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:</w:t>
      </w:r>
    </w:p>
    <w:p w:rsidR="00195F1F" w:rsidRDefault="00195F1F" w:rsidP="00195F1F">
      <w:pPr>
        <w:pStyle w:val="NoSpacing"/>
        <w:numPr>
          <w:ilvl w:val="0"/>
          <w:numId w:val="16"/>
        </w:numPr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90 de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puncte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(15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iulie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– 15 august)</w:t>
      </w:r>
      <w:r>
        <w:rPr>
          <w:rFonts w:eastAsia="Times New Roman"/>
          <w:bCs/>
          <w:color w:val="000000"/>
          <w:bdr w:val="none" w:sz="0" w:space="0" w:color="auto"/>
          <w:lang w:eastAsia="ro-RO"/>
        </w:rPr>
        <w:t>;</w:t>
      </w:r>
    </w:p>
    <w:p w:rsidR="00195F1F" w:rsidRDefault="00195F1F" w:rsidP="00195F1F">
      <w:pPr>
        <w:pStyle w:val="NoSpacing"/>
        <w:numPr>
          <w:ilvl w:val="0"/>
          <w:numId w:val="16"/>
        </w:numPr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85 de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puncte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(16 august – 15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septembrie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)</w:t>
      </w:r>
      <w:r>
        <w:rPr>
          <w:rFonts w:eastAsia="Times New Roman"/>
          <w:bCs/>
          <w:color w:val="000000"/>
          <w:bdr w:val="none" w:sz="0" w:space="0" w:color="auto"/>
          <w:lang w:eastAsia="ro-RO"/>
        </w:rPr>
        <w:t>;</w:t>
      </w:r>
    </w:p>
    <w:p w:rsidR="00195F1F" w:rsidRPr="00195F1F" w:rsidRDefault="00195F1F" w:rsidP="00195F1F">
      <w:pPr>
        <w:pStyle w:val="NoSpacing"/>
        <w:numPr>
          <w:ilvl w:val="0"/>
          <w:numId w:val="16"/>
        </w:numPr>
        <w:jc w:val="both"/>
        <w:rPr>
          <w:rFonts w:eastAsia="Times New Roman"/>
          <w:bCs/>
          <w:color w:val="000000"/>
          <w:bdr w:val="none" w:sz="0" w:space="0" w:color="auto"/>
          <w:lang w:eastAsia="ro-RO"/>
        </w:rPr>
      </w:pPr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25 de </w:t>
      </w:r>
      <w:proofErr w:type="spellStart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>puncte</w:t>
      </w:r>
      <w:proofErr w:type="spellEnd"/>
      <w:r w:rsidRPr="00195F1F">
        <w:rPr>
          <w:rFonts w:eastAsia="Times New Roman"/>
          <w:b/>
          <w:bCs/>
          <w:color w:val="000000"/>
          <w:bdr w:val="none" w:sz="0" w:space="0" w:color="auto"/>
          <w:lang w:eastAsia="ro-RO"/>
        </w:rPr>
        <w:t xml:space="preserve"> </w:t>
      </w:r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(16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septembrie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– 15 </w:t>
      </w:r>
      <w:proofErr w:type="spellStart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octombrie</w:t>
      </w:r>
      <w:proofErr w:type="spellEnd"/>
      <w:r w:rsidRPr="00195F1F">
        <w:rPr>
          <w:rFonts w:eastAsia="Times New Roman"/>
          <w:bCs/>
          <w:color w:val="000000"/>
          <w:bdr w:val="none" w:sz="0" w:space="0" w:color="auto"/>
          <w:lang w:eastAsia="ro-RO"/>
        </w:rPr>
        <w:t>)</w:t>
      </w:r>
    </w:p>
    <w:p w:rsidR="00B70DB3" w:rsidRDefault="00B70DB3" w:rsidP="00B70DB3">
      <w:pPr>
        <w:pStyle w:val="Default"/>
      </w:pPr>
    </w:p>
    <w:p w:rsidR="00B70DB3" w:rsidRDefault="00B70DB3" w:rsidP="0046397F">
      <w:pPr>
        <w:pStyle w:val="NoSpacing"/>
        <w:ind w:firstLine="427"/>
        <w:jc w:val="both"/>
      </w:pPr>
      <w:proofErr w:type="spellStart"/>
      <w:r w:rsidRPr="00B70DB3">
        <w:rPr>
          <w:bCs/>
        </w:rPr>
        <w:t>Depunerea</w:t>
      </w:r>
      <w:proofErr w:type="spellEnd"/>
      <w:r w:rsidRPr="00B70DB3">
        <w:rPr>
          <w:bCs/>
        </w:rPr>
        <w:t xml:space="preserve"> </w:t>
      </w:r>
      <w:proofErr w:type="spellStart"/>
      <w:r w:rsidRPr="00B70DB3">
        <w:rPr>
          <w:bCs/>
        </w:rPr>
        <w:t>Cererilor</w:t>
      </w:r>
      <w:proofErr w:type="spellEnd"/>
      <w:r w:rsidRPr="00B70DB3">
        <w:rPr>
          <w:bCs/>
        </w:rPr>
        <w:t xml:space="preserve"> de </w:t>
      </w:r>
      <w:proofErr w:type="spellStart"/>
      <w:r w:rsidRPr="00B70DB3">
        <w:rPr>
          <w:bCs/>
        </w:rPr>
        <w:t>finanțare</w:t>
      </w:r>
      <w:proofErr w:type="spellEnd"/>
      <w:r w:rsidRPr="00B70DB3">
        <w:rPr>
          <w:b/>
          <w:bCs/>
        </w:rPr>
        <w:t xml:space="preserve"> </w:t>
      </w:r>
      <w:proofErr w:type="spellStart"/>
      <w:r w:rsidRPr="00B70DB3">
        <w:t>pentru</w:t>
      </w:r>
      <w:proofErr w:type="spellEnd"/>
      <w:r w:rsidRPr="00B70DB3">
        <w:t xml:space="preserve"> </w:t>
      </w:r>
      <w:proofErr w:type="spellStart"/>
      <w:r w:rsidRPr="00B70DB3">
        <w:t>submăsura</w:t>
      </w:r>
      <w:proofErr w:type="spellEnd"/>
      <w:r w:rsidRPr="00B70DB3">
        <w:t xml:space="preserve"> 6.1, se </w:t>
      </w:r>
      <w:proofErr w:type="spellStart"/>
      <w:proofErr w:type="gramStart"/>
      <w:r w:rsidRPr="00B70DB3">
        <w:t>va</w:t>
      </w:r>
      <w:proofErr w:type="spellEnd"/>
      <w:proofErr w:type="gramEnd"/>
      <w:r w:rsidRPr="00B70DB3">
        <w:t xml:space="preserve"> face </w:t>
      </w:r>
      <w:r w:rsidRPr="00B70DB3">
        <w:rPr>
          <w:b/>
          <w:bCs/>
        </w:rPr>
        <w:t xml:space="preserve">on-line </w:t>
      </w:r>
      <w:proofErr w:type="spellStart"/>
      <w:r w:rsidRPr="00B70DB3">
        <w:t>pe</w:t>
      </w:r>
      <w:proofErr w:type="spellEnd"/>
      <w:r w:rsidRPr="00B70DB3">
        <w:t xml:space="preserve"> </w:t>
      </w:r>
      <w:r w:rsidRPr="00B70DB3">
        <w:rPr>
          <w:b/>
          <w:bCs/>
        </w:rPr>
        <w:t>www.afir.info</w:t>
      </w:r>
      <w:r w:rsidRPr="00B70DB3">
        <w:t xml:space="preserve">, conform </w:t>
      </w:r>
      <w:proofErr w:type="spellStart"/>
      <w:r w:rsidRPr="00B70DB3">
        <w:t>precizăr</w:t>
      </w:r>
      <w:r>
        <w:t>ilor</w:t>
      </w:r>
      <w:proofErr w:type="spellEnd"/>
      <w:r>
        <w:t xml:space="preserve"> din </w:t>
      </w:r>
      <w:proofErr w:type="spellStart"/>
      <w:r>
        <w:t>Ghidul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>.</w:t>
      </w:r>
    </w:p>
    <w:p w:rsidR="00B70DB3" w:rsidRPr="00B70DB3" w:rsidRDefault="00B70DB3" w:rsidP="00B70DB3">
      <w:pPr>
        <w:pStyle w:val="NoSpacing"/>
        <w:jc w:val="both"/>
      </w:pPr>
    </w:p>
    <w:p w:rsidR="00C33CAD" w:rsidRPr="00C33CAD" w:rsidRDefault="00C33CAD" w:rsidP="00B70DB3">
      <w:pPr>
        <w:pStyle w:val="NoSpacing"/>
        <w:jc w:val="right"/>
        <w:rPr>
          <w:rFonts w:eastAsia="Times New Roman"/>
          <w:bCs/>
          <w:color w:val="000000"/>
          <w:bdr w:val="none" w:sz="0" w:space="0" w:color="auto"/>
          <w:lang w:eastAsia="ro-RO"/>
        </w:rPr>
      </w:pPr>
      <w:proofErr w:type="spell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Sursa</w:t>
      </w:r>
      <w:proofErr w:type="spell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: </w:t>
      </w:r>
      <w:proofErr w:type="spell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Agenția</w:t>
      </w:r>
      <w:proofErr w:type="spell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de </w:t>
      </w:r>
      <w:proofErr w:type="spell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Finanțare</w:t>
      </w:r>
      <w:proofErr w:type="spell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gram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a</w:t>
      </w:r>
      <w:proofErr w:type="gram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Investițiilor</w:t>
      </w:r>
      <w:proofErr w:type="spell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</w:t>
      </w:r>
      <w:proofErr w:type="spellStart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>Rurale</w:t>
      </w:r>
      <w:proofErr w:type="spellEnd"/>
      <w:r w:rsidRPr="00C33CAD">
        <w:rPr>
          <w:rFonts w:eastAsia="Times New Roman"/>
          <w:bCs/>
          <w:color w:val="000000"/>
          <w:bdr w:val="none" w:sz="0" w:space="0" w:color="auto"/>
          <w:lang w:eastAsia="ro-RO"/>
        </w:rPr>
        <w:t xml:space="preserve"> (AFIR)</w:t>
      </w:r>
    </w:p>
    <w:p w:rsidR="00BE0F42" w:rsidRPr="00123933" w:rsidRDefault="00BE0F42" w:rsidP="00D904F6">
      <w:pPr>
        <w:pStyle w:val="NoSpacing"/>
        <w:rPr>
          <w:rFonts w:eastAsia="Times New Roman"/>
          <w:bCs/>
          <w:color w:val="000000"/>
          <w:bdr w:val="none" w:sz="0" w:space="0" w:color="auto"/>
          <w:lang w:eastAsia="ro-RO"/>
        </w:rPr>
      </w:pPr>
    </w:p>
    <w:p w:rsidR="00E2440D" w:rsidRPr="00123933" w:rsidRDefault="00E2440D" w:rsidP="00D904F6">
      <w:pPr>
        <w:pStyle w:val="NoSpacing"/>
        <w:jc w:val="both"/>
        <w:rPr>
          <w:rFonts w:eastAsia="Times New Roman"/>
        </w:rPr>
      </w:pPr>
    </w:p>
    <w:sectPr w:rsidR="00E2440D" w:rsidRPr="00123933" w:rsidSect="005E09EE">
      <w:headerReference w:type="default" r:id="rId10"/>
      <w:pgSz w:w="11900" w:h="16840" w:code="9"/>
      <w:pgMar w:top="1440" w:right="1440" w:bottom="1440" w:left="1440" w:header="720" w:footer="3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BD" w:rsidRDefault="006B2ABD">
      <w:r>
        <w:separator/>
      </w:r>
    </w:p>
  </w:endnote>
  <w:endnote w:type="continuationSeparator" w:id="0">
    <w:p w:rsidR="006B2ABD" w:rsidRDefault="006B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BD" w:rsidRDefault="006B2ABD">
      <w:r>
        <w:separator/>
      </w:r>
    </w:p>
  </w:footnote>
  <w:footnote w:type="continuationSeparator" w:id="0">
    <w:p w:rsidR="006B2ABD" w:rsidRDefault="006B2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CF" w:rsidRDefault="005E09EE">
    <w:pPr>
      <w:pStyle w:val="Header"/>
      <w:tabs>
        <w:tab w:val="clear" w:pos="9406"/>
        <w:tab w:val="right" w:pos="9045"/>
      </w:tabs>
    </w:pPr>
    <w:r>
      <w:rPr>
        <w:noProof/>
      </w:rPr>
      <w:drawing>
        <wp:anchor distT="152400" distB="152400" distL="152400" distR="152400" simplePos="0" relativeHeight="251658240" behindDoc="0" locked="0" layoutInCell="1" allowOverlap="1" wp14:anchorId="271648CC" wp14:editId="1CF37F58">
          <wp:simplePos x="0" y="0"/>
          <wp:positionH relativeFrom="page">
            <wp:posOffset>370840</wp:posOffset>
          </wp:positionH>
          <wp:positionV relativeFrom="page">
            <wp:posOffset>294478</wp:posOffset>
          </wp:positionV>
          <wp:extent cx="5180965" cy="899160"/>
          <wp:effectExtent l="0" t="0" r="635" b="0"/>
          <wp:wrapNone/>
          <wp:docPr id="1073741825" name="officeArt object" descr="C:\Users\crist\AppData\Local\Microsoft\Windows\INetCache\Content.Word\logo MADR 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crist\AppData\Local\Microsoft\Windows\INetCache\Content.Word\logo MADR albastru.png" descr="C:\Users\crist\AppData\Local\Microsoft\Windows\INetCache\Content.Word\logo MADR albastru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965" cy="8991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7FCF" w:rsidRDefault="009B7FCF" w:rsidP="00C438B0">
    <w:pPr>
      <w:pStyle w:val="Header"/>
      <w:tabs>
        <w:tab w:val="clear" w:pos="9406"/>
        <w:tab w:val="right" w:pos="9045"/>
      </w:tabs>
      <w:jc w:val="right"/>
    </w:pP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b/>
        <w:bCs/>
        <w:noProof/>
        <w:sz w:val="20"/>
        <w:szCs w:val="20"/>
        <w:bdr w:val="none" w:sz="0" w:space="0" w:color="auto"/>
        <w:lang w:val="ro-RO"/>
      </w:rPr>
    </w:pPr>
    <w:r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 xml:space="preserve">                    </w:t>
    </w:r>
    <w:r w:rsidRPr="00103E75">
      <w:rPr>
        <w:rFonts w:eastAsia="Times New Roman"/>
        <w:b/>
        <w:bCs/>
        <w:noProof/>
        <w:sz w:val="20"/>
        <w:szCs w:val="20"/>
        <w:bdr w:val="none" w:sz="0" w:space="0" w:color="auto"/>
        <w:lang w:val="pt-BR"/>
      </w:rPr>
      <w:t>DIRECŢIA PENTRU AGRICULTURĂ JUDEȚEANĂ IAŞI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B-dul Ştefan cel Mare şi Sfânt, nr.</w:t>
    </w: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>13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, IAŞI, cod poştal – 700064</w:t>
    </w:r>
  </w:p>
  <w:p w:rsidR="009B7FCF" w:rsidRPr="00103E75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sz w:val="20"/>
        <w:szCs w:val="20"/>
        <w:bdr w:val="none" w:sz="0" w:space="0" w:color="auto"/>
        <w:lang w:val="ro-RO" w:eastAsia="ro-RO"/>
      </w:rPr>
    </w:pP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Tel. </w:t>
    </w:r>
    <w:r w:rsidRPr="00103E75">
      <w:rPr>
        <w:rFonts w:eastAsia="Calibri"/>
        <w:i/>
        <w:sz w:val="20"/>
        <w:szCs w:val="20"/>
        <w:bdr w:val="none" w:sz="0" w:space="0" w:color="auto"/>
        <w:lang w:val="ro-RO" w:eastAsia="ro-RO"/>
      </w:rPr>
      <w:t>0232/255957, 0232/255958, 0232/261080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>;Fax: 0232/211012, cod fiscal 37597618</w:t>
    </w:r>
  </w:p>
  <w:p w:rsidR="0030048D" w:rsidRPr="009B7FCF" w:rsidRDefault="009B7FCF" w:rsidP="009B7FCF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eastAsia="Times New Roman"/>
        <w:i/>
        <w:color w:val="0000FF"/>
        <w:sz w:val="20"/>
        <w:szCs w:val="20"/>
        <w:u w:val="single"/>
        <w:bdr w:val="none" w:sz="0" w:space="0" w:color="auto"/>
        <w:lang w:val="ro-RO" w:eastAsia="ro-RO"/>
      </w:rPr>
    </w:pPr>
    <w:r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                               </w:t>
    </w:r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E-mail: </w:t>
    </w:r>
    <w:hyperlink r:id="rId2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dadr.is@madr.ro</w:t>
      </w:r>
    </w:hyperlink>
    <w:r w:rsidRPr="00103E75">
      <w:rPr>
        <w:rFonts w:eastAsia="Times New Roman"/>
        <w:i/>
        <w:sz w:val="20"/>
        <w:szCs w:val="20"/>
        <w:bdr w:val="none" w:sz="0" w:space="0" w:color="auto"/>
        <w:lang w:val="ro-RO" w:eastAsia="ro-RO"/>
      </w:rPr>
      <w:t xml:space="preserve">; Site: </w:t>
    </w:r>
    <w:hyperlink r:id="rId3" w:history="1">
      <w:r w:rsidRPr="00103E75">
        <w:rPr>
          <w:rFonts w:eastAsia="Times New Roman"/>
          <w:i/>
          <w:color w:val="0000FF"/>
          <w:sz w:val="20"/>
          <w:szCs w:val="20"/>
          <w:u w:val="single"/>
          <w:bdr w:val="none" w:sz="0" w:space="0" w:color="auto"/>
          <w:lang w:val="ro-RO" w:eastAsia="ro-RO"/>
        </w:rPr>
        <w:t>www.dajiasi.ro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325A"/>
    <w:multiLevelType w:val="hybridMultilevel"/>
    <w:tmpl w:val="AA2267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76696"/>
    <w:multiLevelType w:val="hybridMultilevel"/>
    <w:tmpl w:val="7532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4166E"/>
    <w:multiLevelType w:val="hybridMultilevel"/>
    <w:tmpl w:val="9EF0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1647B"/>
    <w:multiLevelType w:val="hybridMultilevel"/>
    <w:tmpl w:val="612C6F72"/>
    <w:lvl w:ilvl="0" w:tplc="D6C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E139E"/>
    <w:multiLevelType w:val="hybridMultilevel"/>
    <w:tmpl w:val="AF0AB9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7ADA"/>
    <w:multiLevelType w:val="hybridMultilevel"/>
    <w:tmpl w:val="922AC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D743E"/>
    <w:multiLevelType w:val="hybridMultilevel"/>
    <w:tmpl w:val="7D8C05D8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4627EB"/>
    <w:multiLevelType w:val="hybridMultilevel"/>
    <w:tmpl w:val="593EF9A0"/>
    <w:lvl w:ilvl="0" w:tplc="040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47084941"/>
    <w:multiLevelType w:val="hybridMultilevel"/>
    <w:tmpl w:val="F3E2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44B70"/>
    <w:multiLevelType w:val="hybridMultilevel"/>
    <w:tmpl w:val="961C2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4616"/>
    <w:multiLevelType w:val="hybridMultilevel"/>
    <w:tmpl w:val="449EBD26"/>
    <w:lvl w:ilvl="0" w:tplc="FC0850B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7C508A"/>
    <w:multiLevelType w:val="hybridMultilevel"/>
    <w:tmpl w:val="E6F0165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84409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A25E0"/>
    <w:multiLevelType w:val="hybridMultilevel"/>
    <w:tmpl w:val="864A61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6E48E9"/>
    <w:multiLevelType w:val="hybridMultilevel"/>
    <w:tmpl w:val="B6DEE70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640232"/>
    <w:multiLevelType w:val="hybridMultilevel"/>
    <w:tmpl w:val="E236CE7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1841D44"/>
    <w:multiLevelType w:val="hybridMultilevel"/>
    <w:tmpl w:val="203C08AE"/>
    <w:lvl w:ilvl="0" w:tplc="51BCFB8E">
      <w:start w:val="1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D"/>
    <w:rsid w:val="00015810"/>
    <w:rsid w:val="00051655"/>
    <w:rsid w:val="00083B7F"/>
    <w:rsid w:val="000B7496"/>
    <w:rsid w:val="00103E75"/>
    <w:rsid w:val="00123933"/>
    <w:rsid w:val="00195F1F"/>
    <w:rsid w:val="001A37C7"/>
    <w:rsid w:val="00211A6E"/>
    <w:rsid w:val="0021251D"/>
    <w:rsid w:val="00220F87"/>
    <w:rsid w:val="00221045"/>
    <w:rsid w:val="00223C37"/>
    <w:rsid w:val="002343FF"/>
    <w:rsid w:val="0023594A"/>
    <w:rsid w:val="002403BC"/>
    <w:rsid w:val="00247809"/>
    <w:rsid w:val="002557B8"/>
    <w:rsid w:val="0028369F"/>
    <w:rsid w:val="002B6300"/>
    <w:rsid w:val="002D7318"/>
    <w:rsid w:val="0030048D"/>
    <w:rsid w:val="003124B1"/>
    <w:rsid w:val="00337EB3"/>
    <w:rsid w:val="00353ABB"/>
    <w:rsid w:val="00372A16"/>
    <w:rsid w:val="00374D7C"/>
    <w:rsid w:val="00377AB8"/>
    <w:rsid w:val="003906D4"/>
    <w:rsid w:val="00397A57"/>
    <w:rsid w:val="003A5287"/>
    <w:rsid w:val="003C369F"/>
    <w:rsid w:val="003F0F39"/>
    <w:rsid w:val="0046397F"/>
    <w:rsid w:val="004E6421"/>
    <w:rsid w:val="00505BF3"/>
    <w:rsid w:val="00536E3E"/>
    <w:rsid w:val="00574A32"/>
    <w:rsid w:val="00597023"/>
    <w:rsid w:val="005E09EE"/>
    <w:rsid w:val="005F2C3C"/>
    <w:rsid w:val="00630443"/>
    <w:rsid w:val="006357B0"/>
    <w:rsid w:val="00643134"/>
    <w:rsid w:val="006810F7"/>
    <w:rsid w:val="006A6E01"/>
    <w:rsid w:val="006A7278"/>
    <w:rsid w:val="006B2ABD"/>
    <w:rsid w:val="006B3A81"/>
    <w:rsid w:val="00714528"/>
    <w:rsid w:val="00763723"/>
    <w:rsid w:val="007F3526"/>
    <w:rsid w:val="008025D8"/>
    <w:rsid w:val="00861AA1"/>
    <w:rsid w:val="00897157"/>
    <w:rsid w:val="008C5194"/>
    <w:rsid w:val="009526D6"/>
    <w:rsid w:val="00961BF8"/>
    <w:rsid w:val="00971AB2"/>
    <w:rsid w:val="009916B8"/>
    <w:rsid w:val="009A33FB"/>
    <w:rsid w:val="009B7FCF"/>
    <w:rsid w:val="00A344E7"/>
    <w:rsid w:val="00A6782D"/>
    <w:rsid w:val="00AA421F"/>
    <w:rsid w:val="00AC1FEB"/>
    <w:rsid w:val="00AD2804"/>
    <w:rsid w:val="00B074FD"/>
    <w:rsid w:val="00B43DE7"/>
    <w:rsid w:val="00B70DB3"/>
    <w:rsid w:val="00BA4347"/>
    <w:rsid w:val="00BA5C0F"/>
    <w:rsid w:val="00BC110A"/>
    <w:rsid w:val="00BE0F42"/>
    <w:rsid w:val="00BE7335"/>
    <w:rsid w:val="00BF19B8"/>
    <w:rsid w:val="00C33CAD"/>
    <w:rsid w:val="00C35B77"/>
    <w:rsid w:val="00C438B0"/>
    <w:rsid w:val="00C44AA5"/>
    <w:rsid w:val="00C46588"/>
    <w:rsid w:val="00C97E4B"/>
    <w:rsid w:val="00CA379E"/>
    <w:rsid w:val="00CE2CDF"/>
    <w:rsid w:val="00D038D1"/>
    <w:rsid w:val="00D068C5"/>
    <w:rsid w:val="00D10314"/>
    <w:rsid w:val="00D11409"/>
    <w:rsid w:val="00D127CD"/>
    <w:rsid w:val="00D66EB2"/>
    <w:rsid w:val="00D904F6"/>
    <w:rsid w:val="00DB2606"/>
    <w:rsid w:val="00DD452A"/>
    <w:rsid w:val="00E2440D"/>
    <w:rsid w:val="00E2530F"/>
    <w:rsid w:val="00EC5BFA"/>
    <w:rsid w:val="00EE6CFC"/>
    <w:rsid w:val="00EE7C70"/>
    <w:rsid w:val="00EF0DB6"/>
    <w:rsid w:val="00EF167A"/>
    <w:rsid w:val="00EF4752"/>
    <w:rsid w:val="00F0158B"/>
    <w:rsid w:val="00FE6E4B"/>
    <w:rsid w:val="00FF387A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703"/>
        <w:tab w:val="right" w:pos="9406"/>
      </w:tabs>
      <w:spacing w:before="160"/>
      <w:jc w:val="both"/>
    </w:pPr>
    <w:rPr>
      <w:rFonts w:ascii="Trebuchet MS" w:hAnsi="Trebuchet MS" w:cs="Arial Unicode MS"/>
      <w:color w:val="000000"/>
      <w:sz w:val="22"/>
      <w:szCs w:val="22"/>
      <w:u w:color="000000"/>
    </w:rPr>
  </w:style>
  <w:style w:type="paragraph" w:customStyle="1" w:styleId="Footer1">
    <w:name w:val="Footer1"/>
    <w:pPr>
      <w:tabs>
        <w:tab w:val="center" w:pos="4703"/>
        <w:tab w:val="right" w:pos="9406"/>
      </w:tabs>
      <w:jc w:val="both"/>
    </w:pPr>
    <w:rPr>
      <w:rFonts w:ascii="Trebuchet MS" w:hAnsi="Trebuchet MS" w:cs="Arial Unicode MS"/>
      <w:color w:val="000000"/>
      <w:sz w:val="14"/>
      <w:szCs w:val="14"/>
      <w:u w:color="000000"/>
    </w:rPr>
  </w:style>
  <w:style w:type="paragraph" w:customStyle="1" w:styleId="Body">
    <w:name w:val="Body"/>
    <w:pPr>
      <w:spacing w:before="160" w:after="240" w:line="276" w:lineRule="auto"/>
      <w:jc w:val="both"/>
    </w:pPr>
    <w:rPr>
      <w:rFonts w:ascii="Trebuchet MS" w:eastAsia="Trebuchet MS" w:hAnsi="Trebuchet MS" w:cs="Trebuchet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5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97E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906D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357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7B0"/>
  </w:style>
  <w:style w:type="character" w:styleId="FootnoteReference">
    <w:name w:val="footnote reference"/>
    <w:semiHidden/>
    <w:rsid w:val="006357B0"/>
    <w:rPr>
      <w:vertAlign w:val="superscript"/>
    </w:rPr>
  </w:style>
  <w:style w:type="paragraph" w:customStyle="1" w:styleId="Default">
    <w:name w:val="Default"/>
    <w:rsid w:val="00B70D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o.afir.inf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jiasi.ro" TargetMode="External"/><Relationship Id="rId2" Type="http://schemas.openxmlformats.org/officeDocument/2006/relationships/hyperlink" Target="mailto:dadr.is@mad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0ED6-BB29-4419-9108-8C41C69F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Romanescu</dc:creator>
  <cp:lastModifiedBy>Windows User</cp:lastModifiedBy>
  <cp:revision>50</cp:revision>
  <cp:lastPrinted>2020-03-10T11:29:00Z</cp:lastPrinted>
  <dcterms:created xsi:type="dcterms:W3CDTF">2019-02-14T05:45:00Z</dcterms:created>
  <dcterms:modified xsi:type="dcterms:W3CDTF">2020-07-21T09:56:00Z</dcterms:modified>
</cp:coreProperties>
</file>